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0A39" w:rsidRDefault="00360A39" w:rsidP="00360A39">
      <w:pPr>
        <w:outlineLvl w:val="1"/>
        <w:rPr>
          <w:rFonts w:ascii="Verdana" w:eastAsia="Times New Roman" w:hAnsi="Verdana" w:cs="Times New Roman"/>
          <w:b/>
          <w:bCs/>
          <w:color w:val="000000"/>
          <w:kern w:val="36"/>
          <w:sz w:val="20"/>
          <w:szCs w:val="19"/>
          <w:lang w:eastAsia="it-IT"/>
        </w:rPr>
      </w:pPr>
      <w:bookmarkStart w:id="0" w:name="_GoBack"/>
      <w:r w:rsidRPr="00360A39">
        <w:rPr>
          <w:rFonts w:ascii="Verdana" w:eastAsia="Times New Roman" w:hAnsi="Verdana" w:cs="Times New Roman"/>
          <w:b/>
          <w:bCs/>
          <w:color w:val="000000"/>
          <w:kern w:val="36"/>
          <w:sz w:val="20"/>
          <w:szCs w:val="19"/>
          <w:lang w:eastAsia="it-IT"/>
        </w:rPr>
        <w:t>LOCALI DI PUBBLICO SPETTACOLO</w:t>
      </w:r>
    </w:p>
    <w:bookmarkEnd w:id="0"/>
    <w:p w:rsidR="00360A39" w:rsidRPr="00360A39" w:rsidRDefault="00360A39" w:rsidP="00360A39">
      <w:pPr>
        <w:outlineLvl w:val="1"/>
        <w:rPr>
          <w:rFonts w:ascii="Verdana" w:eastAsia="Times New Roman" w:hAnsi="Verdana" w:cs="Times New Roman"/>
          <w:b/>
          <w:bCs/>
          <w:color w:val="000000"/>
          <w:kern w:val="36"/>
          <w:sz w:val="20"/>
          <w:szCs w:val="19"/>
          <w:lang w:eastAsia="it-IT"/>
        </w:rPr>
      </w:pPr>
    </w:p>
    <w:p w:rsidR="00360A39" w:rsidRDefault="00360A39" w:rsidP="00360A39">
      <w:pPr>
        <w:rPr>
          <w:rFonts w:ascii="Verdana" w:eastAsia="Times New Roman" w:hAnsi="Verdana" w:cs="Times New Roman"/>
          <w:sz w:val="16"/>
          <w:szCs w:val="16"/>
          <w:lang w:eastAsia="it-IT"/>
        </w:rPr>
      </w:pPr>
      <w:r w:rsidRPr="00360A39">
        <w:rPr>
          <w:rFonts w:ascii="Verdana" w:eastAsia="Times New Roman" w:hAnsi="Verdana" w:cs="Times New Roman"/>
          <w:sz w:val="16"/>
          <w:szCs w:val="16"/>
          <w:lang w:eastAsia="it-IT"/>
        </w:rPr>
        <w:t>Il Decreto del Ministero dell’Interno 19 agosto 1996: “Approvazione della regola tecnica di prevenzione incendi per la progettazione, costruzione ed esercizio dei locali di intrattenimento e di pubblico spettacolo” si applica per la progettazione, la costruzione e l'esercizio di locali (di nuova realizzazione ed a quelli esistenti alla data di entrata in vigore del decreto, già adibiti alle attività sotto elencate, nel caso siano oggetto di interventi comportanti la loro completa ristrutturazione e/o il cambio di destinazione d'uso, con esclusione degli interventi di manutenzione ordinaria, di cui all'art. 31 lettera a) della legge 5 agosto 1978, n. 457) adibiti a:</w:t>
      </w:r>
    </w:p>
    <w:p w:rsidR="00360A39" w:rsidRPr="00360A39" w:rsidRDefault="00360A39" w:rsidP="00360A39">
      <w:pPr>
        <w:rPr>
          <w:rFonts w:ascii="Verdana" w:eastAsia="Times New Roman" w:hAnsi="Verdana" w:cs="Times New Roman"/>
          <w:sz w:val="16"/>
          <w:szCs w:val="16"/>
          <w:lang w:eastAsia="it-IT"/>
        </w:rPr>
      </w:pPr>
    </w:p>
    <w:p w:rsidR="00360A39" w:rsidRPr="00360A39" w:rsidRDefault="00360A39" w:rsidP="00360A39">
      <w:pPr>
        <w:pStyle w:val="Paragrafoelenco"/>
        <w:numPr>
          <w:ilvl w:val="0"/>
          <w:numId w:val="3"/>
        </w:numPr>
        <w:rPr>
          <w:rFonts w:ascii="Verdana" w:eastAsia="Times New Roman" w:hAnsi="Verdana" w:cs="Times New Roman"/>
          <w:sz w:val="16"/>
          <w:szCs w:val="16"/>
          <w:lang w:eastAsia="it-IT"/>
        </w:rPr>
      </w:pPr>
      <w:r w:rsidRPr="00360A39">
        <w:rPr>
          <w:rFonts w:ascii="Verdana" w:eastAsia="Times New Roman" w:hAnsi="Verdana" w:cs="Times New Roman"/>
          <w:b/>
          <w:bCs/>
          <w:sz w:val="16"/>
          <w:szCs w:val="16"/>
          <w:lang w:eastAsia="it-IT"/>
        </w:rPr>
        <w:t>teatri</w:t>
      </w:r>
      <w:r w:rsidRPr="00360A39">
        <w:rPr>
          <w:rFonts w:ascii="Verdana" w:eastAsia="Times New Roman" w:hAnsi="Verdana" w:cs="Times New Roman"/>
          <w:sz w:val="16"/>
          <w:szCs w:val="16"/>
          <w:lang w:eastAsia="it-IT"/>
        </w:rPr>
        <w:t>;</w:t>
      </w:r>
    </w:p>
    <w:p w:rsidR="00360A39" w:rsidRPr="00360A39" w:rsidRDefault="00360A39" w:rsidP="00360A39">
      <w:pPr>
        <w:pStyle w:val="Paragrafoelenco"/>
        <w:numPr>
          <w:ilvl w:val="0"/>
          <w:numId w:val="3"/>
        </w:numPr>
        <w:rPr>
          <w:rFonts w:ascii="Verdana" w:eastAsia="Times New Roman" w:hAnsi="Verdana" w:cs="Times New Roman"/>
          <w:sz w:val="16"/>
          <w:szCs w:val="16"/>
          <w:lang w:eastAsia="it-IT"/>
        </w:rPr>
      </w:pPr>
      <w:r w:rsidRPr="00360A39">
        <w:rPr>
          <w:rFonts w:ascii="Verdana" w:eastAsia="Times New Roman" w:hAnsi="Verdana" w:cs="Times New Roman"/>
          <w:b/>
          <w:bCs/>
          <w:sz w:val="16"/>
          <w:szCs w:val="16"/>
          <w:lang w:eastAsia="it-IT"/>
        </w:rPr>
        <w:t>cinematografi</w:t>
      </w:r>
      <w:r w:rsidRPr="00360A39">
        <w:rPr>
          <w:rFonts w:ascii="Verdana" w:eastAsia="Times New Roman" w:hAnsi="Verdana" w:cs="Times New Roman"/>
          <w:sz w:val="16"/>
          <w:szCs w:val="16"/>
          <w:lang w:eastAsia="it-IT"/>
        </w:rPr>
        <w:t>;</w:t>
      </w:r>
    </w:p>
    <w:p w:rsidR="00360A39" w:rsidRPr="00360A39" w:rsidRDefault="00360A39" w:rsidP="00360A39">
      <w:pPr>
        <w:pStyle w:val="Paragrafoelenco"/>
        <w:numPr>
          <w:ilvl w:val="0"/>
          <w:numId w:val="3"/>
        </w:numPr>
        <w:rPr>
          <w:rFonts w:ascii="Verdana" w:eastAsia="Times New Roman" w:hAnsi="Verdana" w:cs="Times New Roman"/>
          <w:sz w:val="16"/>
          <w:szCs w:val="16"/>
          <w:lang w:eastAsia="it-IT"/>
        </w:rPr>
      </w:pPr>
      <w:r w:rsidRPr="00360A39">
        <w:rPr>
          <w:rFonts w:ascii="Verdana" w:eastAsia="Times New Roman" w:hAnsi="Verdana" w:cs="Times New Roman"/>
          <w:b/>
          <w:bCs/>
          <w:sz w:val="16"/>
          <w:szCs w:val="16"/>
          <w:lang w:eastAsia="it-IT"/>
        </w:rPr>
        <w:t>cinema-teatri</w:t>
      </w:r>
      <w:r w:rsidRPr="00360A39">
        <w:rPr>
          <w:rFonts w:ascii="Verdana" w:eastAsia="Times New Roman" w:hAnsi="Verdana" w:cs="Times New Roman"/>
          <w:sz w:val="16"/>
          <w:szCs w:val="16"/>
          <w:lang w:eastAsia="it-IT"/>
        </w:rPr>
        <w:t>;</w:t>
      </w:r>
    </w:p>
    <w:p w:rsidR="00360A39" w:rsidRPr="00360A39" w:rsidRDefault="00360A39" w:rsidP="00360A39">
      <w:pPr>
        <w:pStyle w:val="Paragrafoelenco"/>
        <w:numPr>
          <w:ilvl w:val="0"/>
          <w:numId w:val="3"/>
        </w:numPr>
        <w:rPr>
          <w:rFonts w:ascii="Verdana" w:eastAsia="Times New Roman" w:hAnsi="Verdana" w:cs="Times New Roman"/>
          <w:sz w:val="16"/>
          <w:szCs w:val="16"/>
          <w:lang w:eastAsia="it-IT"/>
        </w:rPr>
      </w:pPr>
      <w:r w:rsidRPr="00360A39">
        <w:rPr>
          <w:rFonts w:ascii="Verdana" w:eastAsia="Times New Roman" w:hAnsi="Verdana" w:cs="Times New Roman"/>
          <w:b/>
          <w:bCs/>
          <w:sz w:val="16"/>
          <w:szCs w:val="16"/>
          <w:lang w:eastAsia="it-IT"/>
        </w:rPr>
        <w:t>auditori e sale convegno</w:t>
      </w:r>
      <w:r w:rsidRPr="00360A39">
        <w:rPr>
          <w:rFonts w:ascii="Verdana" w:eastAsia="Times New Roman" w:hAnsi="Verdana" w:cs="Times New Roman"/>
          <w:sz w:val="16"/>
          <w:szCs w:val="16"/>
          <w:lang w:eastAsia="it-IT"/>
        </w:rPr>
        <w:t>;</w:t>
      </w:r>
    </w:p>
    <w:p w:rsidR="00360A39" w:rsidRPr="00360A39" w:rsidRDefault="00360A39" w:rsidP="00360A39">
      <w:pPr>
        <w:pStyle w:val="Paragrafoelenco"/>
        <w:numPr>
          <w:ilvl w:val="0"/>
          <w:numId w:val="3"/>
        </w:numPr>
        <w:rPr>
          <w:rFonts w:ascii="Verdana" w:eastAsia="Times New Roman" w:hAnsi="Verdana" w:cs="Times New Roman"/>
          <w:sz w:val="16"/>
          <w:szCs w:val="16"/>
          <w:lang w:eastAsia="it-IT"/>
        </w:rPr>
      </w:pPr>
      <w:r w:rsidRPr="00360A39">
        <w:rPr>
          <w:rFonts w:ascii="Verdana" w:eastAsia="Times New Roman" w:hAnsi="Verdana" w:cs="Times New Roman"/>
          <w:b/>
          <w:bCs/>
          <w:sz w:val="16"/>
          <w:szCs w:val="16"/>
          <w:lang w:eastAsia="it-IT"/>
        </w:rPr>
        <w:t>locali di trattenimento</w:t>
      </w:r>
      <w:r w:rsidRPr="00360A39">
        <w:rPr>
          <w:rFonts w:ascii="Verdana" w:eastAsia="Times New Roman" w:hAnsi="Verdana" w:cs="Times New Roman"/>
          <w:sz w:val="16"/>
          <w:szCs w:val="16"/>
          <w:lang w:eastAsia="it-IT"/>
        </w:rPr>
        <w:t>, ovvero locali destinati a trattenimenti ed attrazioni varie, aree ubicate in esercizi pubblici ed attrezzate per accogliere spettacoli, con capienza superiore a 100 persone;</w:t>
      </w:r>
    </w:p>
    <w:p w:rsidR="00360A39" w:rsidRPr="00360A39" w:rsidRDefault="00360A39" w:rsidP="00360A39">
      <w:pPr>
        <w:pStyle w:val="Paragrafoelenco"/>
        <w:numPr>
          <w:ilvl w:val="0"/>
          <w:numId w:val="3"/>
        </w:numPr>
        <w:rPr>
          <w:rFonts w:ascii="Verdana" w:eastAsia="Times New Roman" w:hAnsi="Verdana" w:cs="Times New Roman"/>
          <w:sz w:val="16"/>
          <w:szCs w:val="16"/>
          <w:lang w:eastAsia="it-IT"/>
        </w:rPr>
      </w:pPr>
      <w:r w:rsidRPr="00360A39">
        <w:rPr>
          <w:rFonts w:ascii="Verdana" w:eastAsia="Times New Roman" w:hAnsi="Verdana" w:cs="Times New Roman"/>
          <w:b/>
          <w:bCs/>
          <w:sz w:val="16"/>
          <w:szCs w:val="16"/>
          <w:lang w:eastAsia="it-IT"/>
        </w:rPr>
        <w:t>sale da ballo e discoteche</w:t>
      </w:r>
      <w:r w:rsidRPr="00360A39">
        <w:rPr>
          <w:rFonts w:ascii="Verdana" w:eastAsia="Times New Roman" w:hAnsi="Verdana" w:cs="Times New Roman"/>
          <w:sz w:val="16"/>
          <w:szCs w:val="16"/>
          <w:lang w:eastAsia="it-IT"/>
        </w:rPr>
        <w:t>;</w:t>
      </w:r>
    </w:p>
    <w:p w:rsidR="00360A39" w:rsidRPr="00360A39" w:rsidRDefault="00360A39" w:rsidP="00360A39">
      <w:pPr>
        <w:pStyle w:val="Paragrafoelenco"/>
        <w:numPr>
          <w:ilvl w:val="0"/>
          <w:numId w:val="3"/>
        </w:numPr>
        <w:rPr>
          <w:rFonts w:ascii="Verdana" w:eastAsia="Times New Roman" w:hAnsi="Verdana" w:cs="Times New Roman"/>
          <w:sz w:val="16"/>
          <w:szCs w:val="16"/>
          <w:lang w:eastAsia="it-IT"/>
        </w:rPr>
      </w:pPr>
      <w:r w:rsidRPr="00360A39">
        <w:rPr>
          <w:rFonts w:ascii="Verdana" w:eastAsia="Times New Roman" w:hAnsi="Verdana" w:cs="Times New Roman"/>
          <w:b/>
          <w:bCs/>
          <w:sz w:val="16"/>
          <w:szCs w:val="16"/>
          <w:lang w:eastAsia="it-IT"/>
        </w:rPr>
        <w:t>teatri tenda</w:t>
      </w:r>
      <w:r w:rsidRPr="00360A39">
        <w:rPr>
          <w:rFonts w:ascii="Verdana" w:eastAsia="Times New Roman" w:hAnsi="Verdana" w:cs="Times New Roman"/>
          <w:sz w:val="16"/>
          <w:szCs w:val="16"/>
          <w:lang w:eastAsia="it-IT"/>
        </w:rPr>
        <w:t>;</w:t>
      </w:r>
      <w:r w:rsidRPr="00360A39">
        <w:rPr>
          <w:rFonts w:ascii="Verdana" w:eastAsia="Times New Roman" w:hAnsi="Verdana" w:cs="Times New Roman"/>
          <w:sz w:val="16"/>
          <w:szCs w:val="16"/>
          <w:lang w:eastAsia="it-IT"/>
        </w:rPr>
        <w:br/>
      </w:r>
      <w:r w:rsidRPr="00360A39">
        <w:rPr>
          <w:rFonts w:ascii="Verdana" w:eastAsia="Times New Roman" w:hAnsi="Verdana" w:cs="Times New Roman"/>
          <w:b/>
          <w:bCs/>
          <w:sz w:val="16"/>
          <w:szCs w:val="16"/>
          <w:lang w:eastAsia="it-IT"/>
        </w:rPr>
        <w:t>circhi</w:t>
      </w:r>
      <w:r w:rsidRPr="00360A39">
        <w:rPr>
          <w:rFonts w:ascii="Verdana" w:eastAsia="Times New Roman" w:hAnsi="Verdana" w:cs="Times New Roman"/>
          <w:sz w:val="16"/>
          <w:szCs w:val="16"/>
          <w:lang w:eastAsia="it-IT"/>
        </w:rPr>
        <w:t>;</w:t>
      </w:r>
    </w:p>
    <w:p w:rsidR="00360A39" w:rsidRPr="00360A39" w:rsidRDefault="00360A39" w:rsidP="00360A39">
      <w:pPr>
        <w:pStyle w:val="Paragrafoelenco"/>
        <w:numPr>
          <w:ilvl w:val="0"/>
          <w:numId w:val="3"/>
        </w:numPr>
        <w:rPr>
          <w:rFonts w:ascii="Verdana" w:eastAsia="Times New Roman" w:hAnsi="Verdana" w:cs="Times New Roman"/>
          <w:sz w:val="16"/>
          <w:szCs w:val="16"/>
          <w:lang w:eastAsia="it-IT"/>
        </w:rPr>
      </w:pPr>
      <w:r w:rsidRPr="00360A39">
        <w:rPr>
          <w:rFonts w:ascii="Verdana" w:eastAsia="Times New Roman" w:hAnsi="Verdana" w:cs="Times New Roman"/>
          <w:b/>
          <w:bCs/>
          <w:sz w:val="16"/>
          <w:szCs w:val="16"/>
          <w:lang w:eastAsia="it-IT"/>
        </w:rPr>
        <w:t>luoghi destinati a spettacoli viaggianti e parchi di divertimento</w:t>
      </w:r>
      <w:r w:rsidRPr="00360A39">
        <w:rPr>
          <w:rFonts w:ascii="Verdana" w:eastAsia="Times New Roman" w:hAnsi="Verdana" w:cs="Times New Roman"/>
          <w:sz w:val="16"/>
          <w:szCs w:val="16"/>
          <w:lang w:eastAsia="it-IT"/>
        </w:rPr>
        <w:t>;</w:t>
      </w:r>
    </w:p>
    <w:p w:rsidR="00360A39" w:rsidRDefault="00360A39" w:rsidP="00360A39">
      <w:pPr>
        <w:pStyle w:val="Paragrafoelenco"/>
        <w:numPr>
          <w:ilvl w:val="0"/>
          <w:numId w:val="3"/>
        </w:numPr>
        <w:rPr>
          <w:rFonts w:ascii="Verdana" w:eastAsia="Times New Roman" w:hAnsi="Verdana" w:cs="Times New Roman"/>
          <w:sz w:val="16"/>
          <w:szCs w:val="16"/>
          <w:lang w:eastAsia="it-IT"/>
        </w:rPr>
      </w:pPr>
      <w:r w:rsidRPr="00360A39">
        <w:rPr>
          <w:rFonts w:ascii="Verdana" w:eastAsia="Times New Roman" w:hAnsi="Verdana" w:cs="Times New Roman"/>
          <w:b/>
          <w:bCs/>
          <w:sz w:val="16"/>
          <w:szCs w:val="16"/>
          <w:lang w:eastAsia="it-IT"/>
        </w:rPr>
        <w:t>luoghi all'aperto, ovvero luoghi ubicati in delimitati spazi all'aperto attrezzati con impianti appositamente destinati a spettacoli o intrattenimenti e con strutture apposite per lo stazionamento del pubblico</w:t>
      </w:r>
      <w:r w:rsidRPr="00360A39">
        <w:rPr>
          <w:rFonts w:ascii="Verdana" w:eastAsia="Times New Roman" w:hAnsi="Verdana" w:cs="Times New Roman"/>
          <w:sz w:val="16"/>
          <w:szCs w:val="16"/>
          <w:lang w:eastAsia="it-IT"/>
        </w:rPr>
        <w:t>.</w:t>
      </w:r>
    </w:p>
    <w:p w:rsidR="00360A39" w:rsidRPr="00360A39" w:rsidRDefault="00360A39" w:rsidP="00360A39">
      <w:pPr>
        <w:rPr>
          <w:rFonts w:ascii="Verdana" w:eastAsia="Times New Roman" w:hAnsi="Verdana" w:cs="Times New Roman"/>
          <w:sz w:val="16"/>
          <w:szCs w:val="16"/>
          <w:lang w:eastAsia="it-IT"/>
        </w:rPr>
      </w:pPr>
    </w:p>
    <w:p w:rsidR="00360A39" w:rsidRPr="00360A39" w:rsidRDefault="00360A39" w:rsidP="00360A39">
      <w:pPr>
        <w:rPr>
          <w:rFonts w:ascii="Verdana" w:eastAsia="Times New Roman" w:hAnsi="Verdana" w:cs="Times New Roman"/>
          <w:sz w:val="16"/>
          <w:szCs w:val="16"/>
          <w:lang w:eastAsia="it-IT"/>
        </w:rPr>
      </w:pPr>
      <w:r w:rsidRPr="00360A39">
        <w:rPr>
          <w:rFonts w:ascii="Verdana" w:eastAsia="Times New Roman" w:hAnsi="Verdana" w:cs="Times New Roman"/>
          <w:sz w:val="16"/>
          <w:szCs w:val="16"/>
          <w:lang w:eastAsia="it-IT"/>
        </w:rPr>
        <w:t>Rientrano nel campo di applicazione del decreto anche i locali multiuso utilizzati occasionalmente per attività di intrattenimento e pubblico spettacolo.</w:t>
      </w:r>
    </w:p>
    <w:p w:rsidR="00360A39" w:rsidRPr="00360A39" w:rsidRDefault="00360A39" w:rsidP="00360A39">
      <w:pPr>
        <w:rPr>
          <w:rFonts w:ascii="Verdana" w:eastAsia="Times New Roman" w:hAnsi="Verdana" w:cs="Times New Roman"/>
          <w:sz w:val="16"/>
          <w:szCs w:val="16"/>
          <w:lang w:eastAsia="it-IT"/>
        </w:rPr>
      </w:pPr>
      <w:r w:rsidRPr="00360A39">
        <w:rPr>
          <w:rFonts w:ascii="Verdana" w:eastAsia="Times New Roman" w:hAnsi="Verdana" w:cs="Times New Roman"/>
          <w:sz w:val="16"/>
          <w:szCs w:val="16"/>
          <w:lang w:eastAsia="it-IT"/>
        </w:rPr>
        <w:t>Ai locali di trattenimento, di cui alla precedente lettera e), con capienza non superiore a 100 persone, si applicano le disposizioni di cui al titolo XI dell'allegato al decreto medesimo.</w:t>
      </w:r>
    </w:p>
    <w:p w:rsidR="00360A39" w:rsidRPr="00360A39" w:rsidRDefault="00360A39" w:rsidP="00360A39">
      <w:pPr>
        <w:rPr>
          <w:rFonts w:ascii="Verdana" w:eastAsia="Times New Roman" w:hAnsi="Verdana" w:cs="Times New Roman"/>
          <w:sz w:val="16"/>
          <w:szCs w:val="16"/>
          <w:lang w:eastAsia="it-IT"/>
        </w:rPr>
      </w:pPr>
      <w:r w:rsidRPr="00360A39">
        <w:rPr>
          <w:rFonts w:ascii="Verdana" w:eastAsia="Times New Roman" w:hAnsi="Verdana" w:cs="Times New Roman"/>
          <w:sz w:val="16"/>
          <w:szCs w:val="16"/>
          <w:lang w:eastAsia="it-IT"/>
        </w:rPr>
        <w:t>Allegato al decreto c’è appunto il disciplinare che specifica gli adempimenti tecnici da adottare per le varie tipologie di locale di intrattenimento.</w:t>
      </w:r>
    </w:p>
    <w:p w:rsidR="00360A39" w:rsidRPr="00360A39" w:rsidRDefault="00360A39" w:rsidP="00360A39">
      <w:pPr>
        <w:rPr>
          <w:rFonts w:ascii="Verdana" w:eastAsia="Times New Roman" w:hAnsi="Verdana" w:cs="Times New Roman"/>
          <w:sz w:val="16"/>
          <w:szCs w:val="16"/>
          <w:lang w:eastAsia="it-IT"/>
        </w:rPr>
      </w:pPr>
      <w:r w:rsidRPr="00360A39">
        <w:rPr>
          <w:rFonts w:ascii="Verdana" w:eastAsia="Times New Roman" w:hAnsi="Verdana" w:cs="Times New Roman"/>
          <w:sz w:val="16"/>
          <w:szCs w:val="16"/>
          <w:lang w:eastAsia="it-IT"/>
        </w:rPr>
        <w:t>L'Articolo 80 del T.U.L.P.S. cita: L'autorità di pubblica sicurezza non può concedere la licenza per l'apertura di un teatro o di un luogo di pubblico spettacolo, prima di aver fatto verificare da una commissione tecnica la solidità e la sicurezza dell'edificio e l'esistenza di uscite pienamente adatte a sgombrarlo prontamente nel caso di incendio.</w:t>
      </w:r>
    </w:p>
    <w:p w:rsidR="00360A39" w:rsidRPr="00360A39" w:rsidRDefault="00360A39" w:rsidP="00360A39">
      <w:pPr>
        <w:rPr>
          <w:rFonts w:ascii="Verdana" w:eastAsia="Times New Roman" w:hAnsi="Verdana" w:cs="Times New Roman"/>
          <w:sz w:val="16"/>
          <w:szCs w:val="16"/>
          <w:lang w:eastAsia="it-IT"/>
        </w:rPr>
      </w:pPr>
      <w:r w:rsidRPr="00360A39">
        <w:rPr>
          <w:rFonts w:ascii="Verdana" w:eastAsia="Times New Roman" w:hAnsi="Verdana" w:cs="Times New Roman"/>
          <w:sz w:val="16"/>
          <w:szCs w:val="16"/>
          <w:lang w:eastAsia="it-IT"/>
        </w:rPr>
        <w:t>L’Articolo 4 del Decreto del Presidente della Repubblica 28 maggio 2001, n. 311 “Regolamento per la semplificazione dei procedimenti relativi ad autorizzazioni per lo svolgimento di attività disciplinate dal testo unico delle leggi di pubblica sicurezza nonché al riconoscimento della qualifica di agente di pubblica sicurezza” modifica gli articoli 116, 141 e 142 del regolamento di esecuzione del Testo Unico delle Leggi di Pubblica Sicurezza 18 giugno 1931, n. 773, approvato con Regio Decreto 6 maggio 1940, n. 635, introducendo, tra l’altro, per l'applicazione dell'articolo 80 del T.U.L.P.S., la Commissione Comunale di Vigilanza sui Locali di Pubblico Spettacolo allo scopo di esprimere il parere sui progetti di nuovi teatri e di altri locali o impianti di pubblico spettacolo e trattenimento, o di sostanziali modificazioni a quelli esistenti e verificare le condizioni di solidità, di sicurezza e di igiene dei locali stessi o degli impianti ed indicare le misure e le cautele ritenute necessarie sia nell'interesse dell'igiene che della prevenzione degli infortuni, ecc.</w:t>
      </w:r>
      <w:r w:rsidRPr="00360A39">
        <w:rPr>
          <w:rFonts w:ascii="Verdana" w:eastAsia="Times New Roman" w:hAnsi="Verdana" w:cs="Times New Roman"/>
          <w:sz w:val="16"/>
          <w:szCs w:val="16"/>
          <w:lang w:eastAsia="it-IT"/>
        </w:rPr>
        <w:br/>
        <w:t>L’Articolo 4 stabilisce inoltre che per i locali e gli impianti con capienza complessiva pari o inferiore a 200 persone, le verifiche e gli accertamenti di cui sopra sono sostituiti, ferme restando le disposizioni sanitarie vigenti, da una relazione tecnica di un professionista iscritto nell'albo degli ingegneri o nell'albo dei geometri che attesta la rispondenza del locale o dell'impianto alle regole tecniche stabilite con decreto del Ministro dell'interno.</w:t>
      </w:r>
    </w:p>
    <w:p w:rsidR="00360A39" w:rsidRPr="00360A39" w:rsidRDefault="00360A39" w:rsidP="00360A39">
      <w:pPr>
        <w:rPr>
          <w:rFonts w:ascii="Verdana" w:eastAsia="Times New Roman" w:hAnsi="Verdana" w:cs="Times New Roman"/>
          <w:sz w:val="16"/>
          <w:szCs w:val="16"/>
          <w:lang w:eastAsia="it-IT"/>
        </w:rPr>
      </w:pPr>
      <w:r w:rsidRPr="00360A39">
        <w:rPr>
          <w:rFonts w:ascii="Verdana" w:eastAsia="Times New Roman" w:hAnsi="Verdana" w:cs="Times New Roman"/>
          <w:sz w:val="16"/>
          <w:szCs w:val="16"/>
          <w:lang w:eastAsia="it-IT"/>
        </w:rPr>
        <w:t>Per ottenere l'agibilità dei locali ai sensi dell’art. 80 del T.U.L.P.S. occorre acquisire il parere Commissione Comunale o Provinciale (per i locali cinematografici o teatrali e per gli spettacoli viaggianti di capienza superiore a 1.300 spettatori e per gli altri locali o gli impianti con capienza superiore a 5.000 spettatori) di Vigilanza sui Locali di Pubblico Spettacolo.</w:t>
      </w:r>
    </w:p>
    <w:p w:rsidR="00360A39" w:rsidRPr="00360A39" w:rsidRDefault="00360A39" w:rsidP="00360A39">
      <w:pPr>
        <w:rPr>
          <w:rFonts w:ascii="Verdana" w:eastAsia="Times New Roman" w:hAnsi="Verdana" w:cs="Times New Roman"/>
          <w:sz w:val="16"/>
          <w:szCs w:val="16"/>
          <w:lang w:eastAsia="it-IT"/>
        </w:rPr>
      </w:pPr>
      <w:r w:rsidRPr="00360A39">
        <w:rPr>
          <w:rFonts w:ascii="Verdana" w:eastAsia="Times New Roman" w:hAnsi="Verdana" w:cs="Times New Roman"/>
          <w:sz w:val="16"/>
          <w:szCs w:val="16"/>
          <w:lang w:eastAsia="it-IT"/>
        </w:rPr>
        <w:t>La Commissione Provinciale di Vigilanza sui Locali di Pubblico Spettacolo è competente per i locali cinematografici o teatrali e per gli spettacoli viaggianti di capienza superiore a 1.300 spettatori e per gli altri locali o gli impianti con capienza superiore a 5.000 spettatori.</w:t>
      </w:r>
    </w:p>
    <w:p w:rsidR="00360A39" w:rsidRPr="00360A39" w:rsidRDefault="00360A39" w:rsidP="00360A39">
      <w:pPr>
        <w:rPr>
          <w:rFonts w:ascii="Verdana" w:eastAsia="Times New Roman" w:hAnsi="Verdana" w:cs="Times New Roman"/>
          <w:sz w:val="16"/>
          <w:szCs w:val="16"/>
          <w:lang w:eastAsia="it-IT"/>
        </w:rPr>
      </w:pPr>
      <w:r w:rsidRPr="00360A39">
        <w:rPr>
          <w:rFonts w:ascii="Verdana" w:eastAsia="Times New Roman" w:hAnsi="Verdana" w:cs="Times New Roman"/>
          <w:sz w:val="16"/>
          <w:szCs w:val="16"/>
          <w:lang w:eastAsia="it-IT"/>
        </w:rPr>
        <w:t>La Commissione Comunale di Vigilanza sui Locali di Pubblico Spettacolo è competente per i locali cinematografici o teatrali e per gli spettacoli viaggianti di capienza inferiore a 1.300 spettatori e per gli altri locali o gli impianti con capienza inferiore a 5.000 spettatori.</w:t>
      </w:r>
    </w:p>
    <w:p w:rsidR="00360A39" w:rsidRPr="00360A39" w:rsidRDefault="00360A39" w:rsidP="00360A39">
      <w:pPr>
        <w:rPr>
          <w:rFonts w:ascii="Verdana" w:eastAsia="Times New Roman" w:hAnsi="Verdana" w:cs="Times New Roman"/>
          <w:sz w:val="16"/>
          <w:szCs w:val="16"/>
          <w:lang w:eastAsia="it-IT"/>
        </w:rPr>
      </w:pPr>
      <w:r w:rsidRPr="00360A39">
        <w:rPr>
          <w:rFonts w:ascii="Verdana" w:eastAsia="Times New Roman" w:hAnsi="Verdana" w:cs="Times New Roman"/>
          <w:sz w:val="16"/>
          <w:szCs w:val="16"/>
          <w:lang w:eastAsia="it-IT"/>
        </w:rPr>
        <w:t>Per la richiesta della licenza di agibilità dei locali ai sensi dell’art. 80 del T.U.L.P.S., occorre quindi presentare il progetto tecnico e gli elaborati grafici, [di cui al punto 1 dell’elenco documenti richiesti)] ai fini dell’espressione del parere di conformità progetti da parte della Commissione Comunale di Vigilanza sui Locali di Pubblico Spettacolo e successivamente, in caso di locali la cui capienza sia superiore a 200 persone, - produrre la documentazione tecnica [di cui punto 2 dell’elenco documenti richiesti)] ai fini dello svolgimento delle verifiche ed accertamenti qualora la CCVLPS abbia espresso parere favorevole di conformità del progetto.</w:t>
      </w:r>
    </w:p>
    <w:p w:rsidR="00360A39" w:rsidRDefault="00360A39" w:rsidP="00360A39">
      <w:pPr>
        <w:rPr>
          <w:rFonts w:ascii="Verdana" w:eastAsia="Times New Roman" w:hAnsi="Verdana" w:cs="Times New Roman"/>
          <w:b/>
          <w:bCs/>
          <w:sz w:val="16"/>
          <w:szCs w:val="16"/>
          <w:lang w:eastAsia="it-IT"/>
        </w:rPr>
      </w:pPr>
    </w:p>
    <w:p w:rsidR="00360A39" w:rsidRDefault="00360A39" w:rsidP="00360A39">
      <w:pPr>
        <w:rPr>
          <w:rFonts w:ascii="Verdana" w:eastAsia="Times New Roman" w:hAnsi="Verdana" w:cs="Times New Roman"/>
          <w:b/>
          <w:bCs/>
          <w:sz w:val="16"/>
          <w:szCs w:val="16"/>
          <w:lang w:eastAsia="it-IT"/>
        </w:rPr>
      </w:pPr>
      <w:r w:rsidRPr="00360A39">
        <w:rPr>
          <w:rFonts w:ascii="Verdana" w:eastAsia="Times New Roman" w:hAnsi="Verdana" w:cs="Times New Roman"/>
          <w:b/>
          <w:bCs/>
          <w:sz w:val="16"/>
          <w:szCs w:val="16"/>
          <w:lang w:eastAsia="it-IT"/>
        </w:rPr>
        <w:t>Presentazione della domanda</w:t>
      </w:r>
    </w:p>
    <w:p w:rsidR="00360A39" w:rsidRPr="00360A39" w:rsidRDefault="00360A39" w:rsidP="00360A39">
      <w:pPr>
        <w:rPr>
          <w:rFonts w:ascii="Verdana" w:eastAsia="Times New Roman" w:hAnsi="Verdana" w:cs="Times New Roman"/>
          <w:sz w:val="16"/>
          <w:szCs w:val="16"/>
          <w:lang w:eastAsia="it-IT"/>
        </w:rPr>
      </w:pPr>
      <w:r w:rsidRPr="00360A39">
        <w:rPr>
          <w:rFonts w:ascii="Verdana" w:eastAsia="Times New Roman" w:hAnsi="Verdana" w:cs="Times New Roman"/>
          <w:sz w:val="16"/>
          <w:szCs w:val="16"/>
          <w:lang w:eastAsia="it-IT"/>
        </w:rPr>
        <w:t xml:space="preserve">La domanda per ottenere l'agibilità dei locali di pubblico spettacolo deve essere presentata al Comune di Collecchio  previa attivazione della procedura SUAP Unione Pedemontana Parmense. </w:t>
      </w:r>
    </w:p>
    <w:p w:rsidR="00360A39" w:rsidRPr="00360A39" w:rsidRDefault="00360A39" w:rsidP="00360A39">
      <w:pPr>
        <w:rPr>
          <w:rFonts w:ascii="Verdana" w:eastAsia="Times New Roman" w:hAnsi="Verdana" w:cs="Times New Roman"/>
          <w:sz w:val="16"/>
          <w:szCs w:val="16"/>
          <w:lang w:eastAsia="it-IT"/>
        </w:rPr>
      </w:pPr>
      <w:r w:rsidRPr="00360A39">
        <w:rPr>
          <w:rFonts w:ascii="Verdana" w:eastAsia="Times New Roman" w:hAnsi="Verdana" w:cs="Times New Roman"/>
          <w:sz w:val="16"/>
          <w:szCs w:val="16"/>
          <w:lang w:eastAsia="it-IT"/>
        </w:rPr>
        <w:t>Sarà cura dello Sportello Unico Attività Produttive coinvolgere l'ufficio Attività Produttive per concludere l'</w:t>
      </w:r>
      <w:proofErr w:type="spellStart"/>
      <w:r w:rsidRPr="00360A39">
        <w:rPr>
          <w:rFonts w:ascii="Verdana" w:eastAsia="Times New Roman" w:hAnsi="Verdana" w:cs="Times New Roman"/>
          <w:sz w:val="16"/>
          <w:szCs w:val="16"/>
          <w:lang w:eastAsia="it-IT"/>
        </w:rPr>
        <w:t>endoprocedimento</w:t>
      </w:r>
      <w:proofErr w:type="spellEnd"/>
    </w:p>
    <w:p w:rsidR="00360A39" w:rsidRPr="00360A39" w:rsidRDefault="00360A39" w:rsidP="00360A39">
      <w:pPr>
        <w:rPr>
          <w:rFonts w:ascii="Verdana" w:eastAsia="Times New Roman" w:hAnsi="Verdana" w:cs="Times New Roman"/>
          <w:sz w:val="16"/>
          <w:szCs w:val="16"/>
          <w:lang w:eastAsia="it-IT"/>
        </w:rPr>
      </w:pPr>
      <w:r w:rsidRPr="00360A39">
        <w:rPr>
          <w:rFonts w:ascii="Verdana" w:eastAsia="Times New Roman" w:hAnsi="Verdana" w:cs="Times New Roman"/>
          <w:sz w:val="16"/>
          <w:szCs w:val="16"/>
          <w:lang w:eastAsia="it-IT"/>
        </w:rPr>
        <w:t> </w:t>
      </w:r>
    </w:p>
    <w:p w:rsidR="00360A39" w:rsidRPr="00360A39" w:rsidRDefault="00360A39" w:rsidP="00360A39">
      <w:pPr>
        <w:rPr>
          <w:rFonts w:ascii="Verdana" w:eastAsia="Times New Roman" w:hAnsi="Verdana" w:cs="Times New Roman"/>
          <w:sz w:val="16"/>
          <w:szCs w:val="16"/>
          <w:lang w:eastAsia="it-IT"/>
        </w:rPr>
      </w:pPr>
      <w:r w:rsidRPr="00360A39">
        <w:rPr>
          <w:rFonts w:ascii="Verdana" w:eastAsia="Times New Roman" w:hAnsi="Verdana" w:cs="Times New Roman"/>
          <w:b/>
          <w:bCs/>
          <w:sz w:val="16"/>
          <w:szCs w:val="16"/>
          <w:lang w:eastAsia="it-IT"/>
        </w:rPr>
        <w:t>Normativa di riferimento:</w:t>
      </w:r>
    </w:p>
    <w:p w:rsidR="00360A39" w:rsidRPr="00360A39" w:rsidRDefault="00360A39" w:rsidP="00360A39">
      <w:pPr>
        <w:pStyle w:val="Paragrafoelenco"/>
        <w:numPr>
          <w:ilvl w:val="0"/>
          <w:numId w:val="6"/>
        </w:numPr>
        <w:ind w:left="284" w:hanging="142"/>
        <w:rPr>
          <w:rFonts w:ascii="Verdana" w:eastAsia="Times New Roman" w:hAnsi="Verdana" w:cs="Times New Roman"/>
          <w:sz w:val="16"/>
          <w:szCs w:val="16"/>
          <w:lang w:eastAsia="it-IT"/>
        </w:rPr>
      </w:pPr>
      <w:r w:rsidRPr="00360A39">
        <w:rPr>
          <w:rFonts w:ascii="Verdana" w:eastAsia="Times New Roman" w:hAnsi="Verdana" w:cs="Times New Roman"/>
          <w:sz w:val="16"/>
          <w:szCs w:val="16"/>
          <w:lang w:eastAsia="it-IT"/>
        </w:rPr>
        <w:t xml:space="preserve">Articolo 80 del Testo Unico Leggi Pubblica Sicurezza (T.U.L.P.S.), approvato con R.D. 18 giugno 1931, n. 773 </w:t>
      </w:r>
    </w:p>
    <w:p w:rsidR="00360A39" w:rsidRPr="00360A39" w:rsidRDefault="00360A39" w:rsidP="00360A39">
      <w:pPr>
        <w:pStyle w:val="Paragrafoelenco"/>
        <w:numPr>
          <w:ilvl w:val="0"/>
          <w:numId w:val="6"/>
        </w:numPr>
        <w:ind w:left="284" w:hanging="142"/>
        <w:rPr>
          <w:rFonts w:ascii="Verdana" w:eastAsia="Times New Roman" w:hAnsi="Verdana" w:cs="Times New Roman"/>
          <w:sz w:val="16"/>
          <w:szCs w:val="16"/>
          <w:lang w:eastAsia="it-IT"/>
        </w:rPr>
      </w:pPr>
      <w:r w:rsidRPr="00360A39">
        <w:rPr>
          <w:rFonts w:ascii="Verdana" w:eastAsia="Times New Roman" w:hAnsi="Verdana" w:cs="Times New Roman"/>
          <w:sz w:val="16"/>
          <w:szCs w:val="16"/>
          <w:lang w:eastAsia="it-IT"/>
        </w:rPr>
        <w:t xml:space="preserve">Regolamento di esecuzione del T.U.L.P.S. approvato con regio decreto 6 maggio 1940, n. 635 </w:t>
      </w:r>
    </w:p>
    <w:p w:rsidR="00360A39" w:rsidRPr="00360A39" w:rsidRDefault="00360A39" w:rsidP="00360A39">
      <w:pPr>
        <w:pStyle w:val="Paragrafoelenco"/>
        <w:numPr>
          <w:ilvl w:val="0"/>
          <w:numId w:val="6"/>
        </w:numPr>
        <w:ind w:left="284" w:hanging="142"/>
        <w:rPr>
          <w:rFonts w:ascii="Verdana" w:eastAsia="Times New Roman" w:hAnsi="Verdana" w:cs="Times New Roman"/>
          <w:sz w:val="16"/>
          <w:szCs w:val="16"/>
          <w:lang w:eastAsia="it-IT"/>
        </w:rPr>
      </w:pPr>
      <w:hyperlink r:id="rId6" w:history="1">
        <w:r w:rsidRPr="00360A39">
          <w:rPr>
            <w:rFonts w:ascii="Verdana" w:eastAsia="Times New Roman" w:hAnsi="Verdana" w:cs="Times New Roman"/>
            <w:color w:val="333333"/>
            <w:sz w:val="16"/>
            <w:szCs w:val="16"/>
            <w:u w:val="single"/>
            <w:lang w:eastAsia="it-IT"/>
          </w:rPr>
          <w:t>D.M. 19 agosto 1996</w:t>
        </w:r>
      </w:hyperlink>
      <w:r w:rsidRPr="00360A39">
        <w:rPr>
          <w:rFonts w:ascii="Verdana" w:eastAsia="Times New Roman" w:hAnsi="Verdana" w:cs="Times New Roman"/>
          <w:sz w:val="16"/>
          <w:szCs w:val="16"/>
          <w:lang w:eastAsia="it-IT"/>
        </w:rPr>
        <w:t xml:space="preserve"> </w:t>
      </w:r>
    </w:p>
    <w:p w:rsidR="00360A39" w:rsidRPr="00360A39" w:rsidRDefault="00360A39" w:rsidP="00360A39">
      <w:pPr>
        <w:pStyle w:val="Paragrafoelenco"/>
        <w:numPr>
          <w:ilvl w:val="0"/>
          <w:numId w:val="6"/>
        </w:numPr>
        <w:ind w:left="284" w:hanging="142"/>
        <w:rPr>
          <w:rFonts w:ascii="Verdana" w:eastAsia="Times New Roman" w:hAnsi="Verdana" w:cs="Times New Roman"/>
          <w:sz w:val="16"/>
          <w:szCs w:val="16"/>
          <w:lang w:eastAsia="it-IT"/>
        </w:rPr>
      </w:pPr>
      <w:r w:rsidRPr="00360A39">
        <w:rPr>
          <w:rFonts w:ascii="Verdana" w:eastAsia="Times New Roman" w:hAnsi="Verdana" w:cs="Times New Roman"/>
          <w:sz w:val="16"/>
          <w:szCs w:val="16"/>
          <w:lang w:eastAsia="it-IT"/>
        </w:rPr>
        <w:t xml:space="preserve">D.P.R. 28 maggio 2001, n. 311, Articolo 4 </w:t>
      </w:r>
    </w:p>
    <w:sectPr w:rsidR="00360A39" w:rsidRPr="00360A39" w:rsidSect="00360A39">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7847EE"/>
    <w:multiLevelType w:val="hybridMultilevel"/>
    <w:tmpl w:val="7FA8C21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2C1312E3"/>
    <w:multiLevelType w:val="hybridMultilevel"/>
    <w:tmpl w:val="60BEBD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42660F5D"/>
    <w:multiLevelType w:val="hybridMultilevel"/>
    <w:tmpl w:val="2480A9F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5BA05BD1"/>
    <w:multiLevelType w:val="hybridMultilevel"/>
    <w:tmpl w:val="E7846980"/>
    <w:lvl w:ilvl="0" w:tplc="45E4B8AA">
      <w:start w:val="1"/>
      <w:numFmt w:val="lowerLetter"/>
      <w:lvlText w:val="%1."/>
      <w:lvlJc w:val="left"/>
      <w:pPr>
        <w:ind w:left="855" w:hanging="49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6D1506F4"/>
    <w:multiLevelType w:val="hybridMultilevel"/>
    <w:tmpl w:val="C5B09D3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78703AB9"/>
    <w:multiLevelType w:val="hybridMultilevel"/>
    <w:tmpl w:val="08CE01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4E80"/>
    <w:rsid w:val="00057A9D"/>
    <w:rsid w:val="000C4F0D"/>
    <w:rsid w:val="00360A39"/>
    <w:rsid w:val="007304FA"/>
    <w:rsid w:val="007D3D22"/>
    <w:rsid w:val="00A34E80"/>
    <w:rsid w:val="00BF52A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link w:val="Titolo1Carattere"/>
    <w:uiPriority w:val="9"/>
    <w:qFormat/>
    <w:rsid w:val="00BF52A0"/>
    <w:pPr>
      <w:spacing w:before="100" w:beforeAutospacing="1" w:after="100" w:afterAutospacing="1"/>
      <w:outlineLvl w:val="0"/>
    </w:pPr>
    <w:rPr>
      <w:rFonts w:ascii="Times New Roman" w:eastAsia="Times New Roman" w:hAnsi="Times New Roman" w:cs="Times New Roman"/>
      <w:b/>
      <w:bCs/>
      <w:kern w:val="36"/>
      <w:sz w:val="48"/>
      <w:szCs w:val="48"/>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A34E80"/>
    <w:pPr>
      <w:spacing w:before="100" w:beforeAutospacing="1" w:after="100" w:afterAutospacing="1"/>
    </w:pPr>
    <w:rPr>
      <w:rFonts w:ascii="Times New Roman" w:eastAsia="Times New Roman" w:hAnsi="Times New Roman" w:cs="Times New Roman"/>
      <w:sz w:val="24"/>
      <w:szCs w:val="24"/>
      <w:lang w:eastAsia="it-IT"/>
    </w:rPr>
  </w:style>
  <w:style w:type="character" w:customStyle="1" w:styleId="Titolo1Carattere">
    <w:name w:val="Titolo 1 Carattere"/>
    <w:basedOn w:val="Carpredefinitoparagrafo"/>
    <w:link w:val="Titolo1"/>
    <w:uiPriority w:val="9"/>
    <w:rsid w:val="00BF52A0"/>
    <w:rPr>
      <w:rFonts w:ascii="Times New Roman" w:eastAsia="Times New Roman" w:hAnsi="Times New Roman" w:cs="Times New Roman"/>
      <w:b/>
      <w:bCs/>
      <w:kern w:val="36"/>
      <w:sz w:val="48"/>
      <w:szCs w:val="48"/>
      <w:lang w:eastAsia="it-IT"/>
    </w:rPr>
  </w:style>
  <w:style w:type="character" w:styleId="Collegamentoipertestuale">
    <w:name w:val="Hyperlink"/>
    <w:basedOn w:val="Carpredefinitoparagrafo"/>
    <w:uiPriority w:val="99"/>
    <w:unhideWhenUsed/>
    <w:rsid w:val="00BF52A0"/>
    <w:rPr>
      <w:color w:val="333333"/>
      <w:u w:val="single"/>
    </w:rPr>
  </w:style>
  <w:style w:type="paragraph" w:styleId="Paragrafoelenco">
    <w:name w:val="List Paragraph"/>
    <w:basedOn w:val="Normale"/>
    <w:uiPriority w:val="34"/>
    <w:qFormat/>
    <w:rsid w:val="00360A3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link w:val="Titolo1Carattere"/>
    <w:uiPriority w:val="9"/>
    <w:qFormat/>
    <w:rsid w:val="00BF52A0"/>
    <w:pPr>
      <w:spacing w:before="100" w:beforeAutospacing="1" w:after="100" w:afterAutospacing="1"/>
      <w:outlineLvl w:val="0"/>
    </w:pPr>
    <w:rPr>
      <w:rFonts w:ascii="Times New Roman" w:eastAsia="Times New Roman" w:hAnsi="Times New Roman" w:cs="Times New Roman"/>
      <w:b/>
      <w:bCs/>
      <w:kern w:val="36"/>
      <w:sz w:val="48"/>
      <w:szCs w:val="48"/>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A34E80"/>
    <w:pPr>
      <w:spacing w:before="100" w:beforeAutospacing="1" w:after="100" w:afterAutospacing="1"/>
    </w:pPr>
    <w:rPr>
      <w:rFonts w:ascii="Times New Roman" w:eastAsia="Times New Roman" w:hAnsi="Times New Roman" w:cs="Times New Roman"/>
      <w:sz w:val="24"/>
      <w:szCs w:val="24"/>
      <w:lang w:eastAsia="it-IT"/>
    </w:rPr>
  </w:style>
  <w:style w:type="character" w:customStyle="1" w:styleId="Titolo1Carattere">
    <w:name w:val="Titolo 1 Carattere"/>
    <w:basedOn w:val="Carpredefinitoparagrafo"/>
    <w:link w:val="Titolo1"/>
    <w:uiPriority w:val="9"/>
    <w:rsid w:val="00BF52A0"/>
    <w:rPr>
      <w:rFonts w:ascii="Times New Roman" w:eastAsia="Times New Roman" w:hAnsi="Times New Roman" w:cs="Times New Roman"/>
      <w:b/>
      <w:bCs/>
      <w:kern w:val="36"/>
      <w:sz w:val="48"/>
      <w:szCs w:val="48"/>
      <w:lang w:eastAsia="it-IT"/>
    </w:rPr>
  </w:style>
  <w:style w:type="character" w:styleId="Collegamentoipertestuale">
    <w:name w:val="Hyperlink"/>
    <w:basedOn w:val="Carpredefinitoparagrafo"/>
    <w:uiPriority w:val="99"/>
    <w:unhideWhenUsed/>
    <w:rsid w:val="00BF52A0"/>
    <w:rPr>
      <w:color w:val="333333"/>
      <w:u w:val="single"/>
    </w:rPr>
  </w:style>
  <w:style w:type="paragraph" w:styleId="Paragrafoelenco">
    <w:name w:val="List Paragraph"/>
    <w:basedOn w:val="Normale"/>
    <w:uiPriority w:val="34"/>
    <w:qFormat/>
    <w:rsid w:val="00360A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316638">
      <w:bodyDiv w:val="1"/>
      <w:marLeft w:val="0"/>
      <w:marRight w:val="0"/>
      <w:marTop w:val="0"/>
      <w:marBottom w:val="0"/>
      <w:divBdr>
        <w:top w:val="none" w:sz="0" w:space="0" w:color="auto"/>
        <w:left w:val="none" w:sz="0" w:space="0" w:color="auto"/>
        <w:bottom w:val="none" w:sz="0" w:space="0" w:color="auto"/>
        <w:right w:val="none" w:sz="0" w:space="0" w:color="auto"/>
      </w:divBdr>
      <w:divsChild>
        <w:div w:id="2105413350">
          <w:marLeft w:val="0"/>
          <w:marRight w:val="0"/>
          <w:marTop w:val="0"/>
          <w:marBottom w:val="0"/>
          <w:divBdr>
            <w:top w:val="none" w:sz="0" w:space="0" w:color="auto"/>
            <w:left w:val="none" w:sz="0" w:space="0" w:color="auto"/>
            <w:bottom w:val="none" w:sz="0" w:space="0" w:color="auto"/>
            <w:right w:val="none" w:sz="0" w:space="0" w:color="auto"/>
          </w:divBdr>
          <w:divsChild>
            <w:div w:id="49233621">
              <w:marLeft w:val="0"/>
              <w:marRight w:val="0"/>
              <w:marTop w:val="0"/>
              <w:marBottom w:val="0"/>
              <w:divBdr>
                <w:top w:val="none" w:sz="0" w:space="0" w:color="auto"/>
                <w:left w:val="none" w:sz="0" w:space="0" w:color="auto"/>
                <w:bottom w:val="none" w:sz="0" w:space="0" w:color="auto"/>
                <w:right w:val="none" w:sz="0" w:space="0" w:color="auto"/>
              </w:divBdr>
              <w:divsChild>
                <w:div w:id="1825243383">
                  <w:marLeft w:val="2925"/>
                  <w:marRight w:val="2775"/>
                  <w:marTop w:val="0"/>
                  <w:marBottom w:val="0"/>
                  <w:divBdr>
                    <w:top w:val="none" w:sz="0" w:space="0" w:color="auto"/>
                    <w:left w:val="none" w:sz="0" w:space="0" w:color="auto"/>
                    <w:bottom w:val="none" w:sz="0" w:space="0" w:color="auto"/>
                    <w:right w:val="none" w:sz="0" w:space="0" w:color="auto"/>
                  </w:divBdr>
                  <w:divsChild>
                    <w:div w:id="2037466862">
                      <w:marLeft w:val="0"/>
                      <w:marRight w:val="0"/>
                      <w:marTop w:val="0"/>
                      <w:marBottom w:val="120"/>
                      <w:divBdr>
                        <w:top w:val="none" w:sz="0" w:space="0" w:color="auto"/>
                        <w:left w:val="none" w:sz="0" w:space="0" w:color="auto"/>
                        <w:bottom w:val="none" w:sz="0" w:space="0" w:color="auto"/>
                        <w:right w:val="none" w:sz="0" w:space="0" w:color="auto"/>
                      </w:divBdr>
                    </w:div>
                    <w:div w:id="825125975">
                      <w:marLeft w:val="0"/>
                      <w:marRight w:val="0"/>
                      <w:marTop w:val="0"/>
                      <w:marBottom w:val="0"/>
                      <w:divBdr>
                        <w:top w:val="none" w:sz="0" w:space="0" w:color="auto"/>
                        <w:left w:val="none" w:sz="0" w:space="0" w:color="auto"/>
                        <w:bottom w:val="none" w:sz="0" w:space="0" w:color="auto"/>
                        <w:right w:val="none" w:sz="0" w:space="0" w:color="auto"/>
                      </w:divBdr>
                      <w:divsChild>
                        <w:div w:id="689453454">
                          <w:marLeft w:val="0"/>
                          <w:marRight w:val="0"/>
                          <w:marTop w:val="0"/>
                          <w:marBottom w:val="0"/>
                          <w:divBdr>
                            <w:top w:val="none" w:sz="0" w:space="0" w:color="auto"/>
                            <w:left w:val="none" w:sz="0" w:space="0" w:color="auto"/>
                            <w:bottom w:val="none" w:sz="0" w:space="0" w:color="auto"/>
                            <w:right w:val="none" w:sz="0" w:space="0" w:color="auto"/>
                          </w:divBdr>
                        </w:div>
                        <w:div w:id="311179855">
                          <w:marLeft w:val="0"/>
                          <w:marRight w:val="0"/>
                          <w:marTop w:val="0"/>
                          <w:marBottom w:val="0"/>
                          <w:divBdr>
                            <w:top w:val="none" w:sz="0" w:space="0" w:color="auto"/>
                            <w:left w:val="none" w:sz="0" w:space="0" w:color="auto"/>
                            <w:bottom w:val="none" w:sz="0" w:space="0" w:color="auto"/>
                            <w:right w:val="none" w:sz="0" w:space="0" w:color="auto"/>
                          </w:divBdr>
                        </w:div>
                        <w:div w:id="1983197222">
                          <w:marLeft w:val="0"/>
                          <w:marRight w:val="0"/>
                          <w:marTop w:val="0"/>
                          <w:marBottom w:val="0"/>
                          <w:divBdr>
                            <w:top w:val="none" w:sz="0" w:space="0" w:color="auto"/>
                            <w:left w:val="none" w:sz="0" w:space="0" w:color="auto"/>
                            <w:bottom w:val="none" w:sz="0" w:space="0" w:color="auto"/>
                            <w:right w:val="none" w:sz="0" w:space="0" w:color="auto"/>
                          </w:divBdr>
                        </w:div>
                        <w:div w:id="696783813">
                          <w:marLeft w:val="0"/>
                          <w:marRight w:val="0"/>
                          <w:marTop w:val="0"/>
                          <w:marBottom w:val="0"/>
                          <w:divBdr>
                            <w:top w:val="none" w:sz="0" w:space="0" w:color="auto"/>
                            <w:left w:val="none" w:sz="0" w:space="0" w:color="auto"/>
                            <w:bottom w:val="none" w:sz="0" w:space="0" w:color="auto"/>
                            <w:right w:val="none" w:sz="0" w:space="0" w:color="auto"/>
                          </w:divBdr>
                        </w:div>
                        <w:div w:id="1855723966">
                          <w:marLeft w:val="0"/>
                          <w:marRight w:val="0"/>
                          <w:marTop w:val="0"/>
                          <w:marBottom w:val="0"/>
                          <w:divBdr>
                            <w:top w:val="none" w:sz="0" w:space="0" w:color="auto"/>
                            <w:left w:val="none" w:sz="0" w:space="0" w:color="auto"/>
                            <w:bottom w:val="none" w:sz="0" w:space="0" w:color="auto"/>
                            <w:right w:val="none" w:sz="0" w:space="0" w:color="auto"/>
                          </w:divBdr>
                        </w:div>
                        <w:div w:id="614677879">
                          <w:marLeft w:val="0"/>
                          <w:marRight w:val="0"/>
                          <w:marTop w:val="0"/>
                          <w:marBottom w:val="0"/>
                          <w:divBdr>
                            <w:top w:val="none" w:sz="0" w:space="0" w:color="auto"/>
                            <w:left w:val="none" w:sz="0" w:space="0" w:color="auto"/>
                            <w:bottom w:val="none" w:sz="0" w:space="0" w:color="auto"/>
                            <w:right w:val="none" w:sz="0" w:space="0" w:color="auto"/>
                          </w:divBdr>
                        </w:div>
                        <w:div w:id="327557327">
                          <w:marLeft w:val="0"/>
                          <w:marRight w:val="0"/>
                          <w:marTop w:val="0"/>
                          <w:marBottom w:val="0"/>
                          <w:divBdr>
                            <w:top w:val="none" w:sz="0" w:space="0" w:color="auto"/>
                            <w:left w:val="none" w:sz="0" w:space="0" w:color="auto"/>
                            <w:bottom w:val="none" w:sz="0" w:space="0" w:color="auto"/>
                            <w:right w:val="none" w:sz="0" w:space="0" w:color="auto"/>
                          </w:divBdr>
                        </w:div>
                        <w:div w:id="1094978122">
                          <w:marLeft w:val="0"/>
                          <w:marRight w:val="0"/>
                          <w:marTop w:val="0"/>
                          <w:marBottom w:val="0"/>
                          <w:divBdr>
                            <w:top w:val="none" w:sz="0" w:space="0" w:color="auto"/>
                            <w:left w:val="none" w:sz="0" w:space="0" w:color="auto"/>
                            <w:bottom w:val="none" w:sz="0" w:space="0" w:color="auto"/>
                            <w:right w:val="none" w:sz="0" w:space="0" w:color="auto"/>
                          </w:divBdr>
                        </w:div>
                        <w:div w:id="358776680">
                          <w:marLeft w:val="0"/>
                          <w:marRight w:val="0"/>
                          <w:marTop w:val="0"/>
                          <w:marBottom w:val="0"/>
                          <w:divBdr>
                            <w:top w:val="none" w:sz="0" w:space="0" w:color="auto"/>
                            <w:left w:val="none" w:sz="0" w:space="0" w:color="auto"/>
                            <w:bottom w:val="none" w:sz="0" w:space="0" w:color="auto"/>
                            <w:right w:val="none" w:sz="0" w:space="0" w:color="auto"/>
                          </w:divBdr>
                        </w:div>
                        <w:div w:id="2011759633">
                          <w:marLeft w:val="0"/>
                          <w:marRight w:val="0"/>
                          <w:marTop w:val="0"/>
                          <w:marBottom w:val="0"/>
                          <w:divBdr>
                            <w:top w:val="none" w:sz="0" w:space="0" w:color="auto"/>
                            <w:left w:val="none" w:sz="0" w:space="0" w:color="auto"/>
                            <w:bottom w:val="none" w:sz="0" w:space="0" w:color="auto"/>
                            <w:right w:val="none" w:sz="0" w:space="0" w:color="auto"/>
                          </w:divBdr>
                        </w:div>
                        <w:div w:id="160320208">
                          <w:marLeft w:val="0"/>
                          <w:marRight w:val="0"/>
                          <w:marTop w:val="0"/>
                          <w:marBottom w:val="0"/>
                          <w:divBdr>
                            <w:top w:val="none" w:sz="0" w:space="0" w:color="auto"/>
                            <w:left w:val="none" w:sz="0" w:space="0" w:color="auto"/>
                            <w:bottom w:val="none" w:sz="0" w:space="0" w:color="auto"/>
                            <w:right w:val="none" w:sz="0" w:space="0" w:color="auto"/>
                          </w:divBdr>
                        </w:div>
                        <w:div w:id="477454515">
                          <w:marLeft w:val="0"/>
                          <w:marRight w:val="0"/>
                          <w:marTop w:val="0"/>
                          <w:marBottom w:val="0"/>
                          <w:divBdr>
                            <w:top w:val="none" w:sz="0" w:space="0" w:color="auto"/>
                            <w:left w:val="none" w:sz="0" w:space="0" w:color="auto"/>
                            <w:bottom w:val="none" w:sz="0" w:space="0" w:color="auto"/>
                            <w:right w:val="none" w:sz="0" w:space="0" w:color="auto"/>
                          </w:divBdr>
                        </w:div>
                        <w:div w:id="2024160747">
                          <w:marLeft w:val="0"/>
                          <w:marRight w:val="0"/>
                          <w:marTop w:val="0"/>
                          <w:marBottom w:val="0"/>
                          <w:divBdr>
                            <w:top w:val="none" w:sz="0" w:space="0" w:color="auto"/>
                            <w:left w:val="none" w:sz="0" w:space="0" w:color="auto"/>
                            <w:bottom w:val="none" w:sz="0" w:space="0" w:color="auto"/>
                            <w:right w:val="none" w:sz="0" w:space="0" w:color="auto"/>
                          </w:divBdr>
                          <w:divsChild>
                            <w:div w:id="1862696181">
                              <w:marLeft w:val="0"/>
                              <w:marRight w:val="0"/>
                              <w:marTop w:val="0"/>
                              <w:marBottom w:val="0"/>
                              <w:divBdr>
                                <w:top w:val="none" w:sz="0" w:space="0" w:color="auto"/>
                                <w:left w:val="none" w:sz="0" w:space="0" w:color="auto"/>
                                <w:bottom w:val="none" w:sz="0" w:space="0" w:color="auto"/>
                                <w:right w:val="none" w:sz="0" w:space="0" w:color="auto"/>
                              </w:divBdr>
                            </w:div>
                            <w:div w:id="23406105">
                              <w:marLeft w:val="0"/>
                              <w:marRight w:val="0"/>
                              <w:marTop w:val="0"/>
                              <w:marBottom w:val="0"/>
                              <w:divBdr>
                                <w:top w:val="none" w:sz="0" w:space="0" w:color="auto"/>
                                <w:left w:val="none" w:sz="0" w:space="0" w:color="auto"/>
                                <w:bottom w:val="none" w:sz="0" w:space="0" w:color="auto"/>
                                <w:right w:val="none" w:sz="0" w:space="0" w:color="auto"/>
                              </w:divBdr>
                            </w:div>
                            <w:div w:id="687871815">
                              <w:marLeft w:val="0"/>
                              <w:marRight w:val="0"/>
                              <w:marTop w:val="0"/>
                              <w:marBottom w:val="0"/>
                              <w:divBdr>
                                <w:top w:val="none" w:sz="0" w:space="0" w:color="auto"/>
                                <w:left w:val="none" w:sz="0" w:space="0" w:color="auto"/>
                                <w:bottom w:val="none" w:sz="0" w:space="0" w:color="auto"/>
                                <w:right w:val="none" w:sz="0" w:space="0" w:color="auto"/>
                              </w:divBdr>
                            </w:div>
                            <w:div w:id="154877291">
                              <w:marLeft w:val="0"/>
                              <w:marRight w:val="0"/>
                              <w:marTop w:val="0"/>
                              <w:marBottom w:val="0"/>
                              <w:divBdr>
                                <w:top w:val="none" w:sz="0" w:space="0" w:color="auto"/>
                                <w:left w:val="none" w:sz="0" w:space="0" w:color="auto"/>
                                <w:bottom w:val="none" w:sz="0" w:space="0" w:color="auto"/>
                                <w:right w:val="none" w:sz="0" w:space="0" w:color="auto"/>
                              </w:divBdr>
                            </w:div>
                          </w:divsChild>
                        </w:div>
                        <w:div w:id="2009213448">
                          <w:marLeft w:val="0"/>
                          <w:marRight w:val="0"/>
                          <w:marTop w:val="0"/>
                          <w:marBottom w:val="0"/>
                          <w:divBdr>
                            <w:top w:val="none" w:sz="0" w:space="0" w:color="auto"/>
                            <w:left w:val="none" w:sz="0" w:space="0" w:color="auto"/>
                            <w:bottom w:val="none" w:sz="0" w:space="0" w:color="auto"/>
                            <w:right w:val="none" w:sz="0" w:space="0" w:color="auto"/>
                          </w:divBdr>
                        </w:div>
                        <w:div w:id="363865641">
                          <w:marLeft w:val="0"/>
                          <w:marRight w:val="0"/>
                          <w:marTop w:val="0"/>
                          <w:marBottom w:val="0"/>
                          <w:divBdr>
                            <w:top w:val="none" w:sz="0" w:space="0" w:color="auto"/>
                            <w:left w:val="none" w:sz="0" w:space="0" w:color="auto"/>
                            <w:bottom w:val="none" w:sz="0" w:space="0" w:color="auto"/>
                            <w:right w:val="none" w:sz="0" w:space="0" w:color="auto"/>
                          </w:divBdr>
                        </w:div>
                        <w:div w:id="311253745">
                          <w:marLeft w:val="0"/>
                          <w:marRight w:val="0"/>
                          <w:marTop w:val="0"/>
                          <w:marBottom w:val="0"/>
                          <w:divBdr>
                            <w:top w:val="none" w:sz="0" w:space="0" w:color="auto"/>
                            <w:left w:val="none" w:sz="0" w:space="0" w:color="auto"/>
                            <w:bottom w:val="none" w:sz="0" w:space="0" w:color="auto"/>
                            <w:right w:val="none" w:sz="0" w:space="0" w:color="auto"/>
                          </w:divBdr>
                        </w:div>
                        <w:div w:id="2100179470">
                          <w:marLeft w:val="0"/>
                          <w:marRight w:val="0"/>
                          <w:marTop w:val="0"/>
                          <w:marBottom w:val="0"/>
                          <w:divBdr>
                            <w:top w:val="none" w:sz="0" w:space="0" w:color="auto"/>
                            <w:left w:val="none" w:sz="0" w:space="0" w:color="auto"/>
                            <w:bottom w:val="none" w:sz="0" w:space="0" w:color="auto"/>
                            <w:right w:val="none" w:sz="0" w:space="0" w:color="auto"/>
                          </w:divBdr>
                        </w:div>
                        <w:div w:id="1567490895">
                          <w:marLeft w:val="0"/>
                          <w:marRight w:val="0"/>
                          <w:marTop w:val="0"/>
                          <w:marBottom w:val="0"/>
                          <w:divBdr>
                            <w:top w:val="none" w:sz="0" w:space="0" w:color="auto"/>
                            <w:left w:val="none" w:sz="0" w:space="0" w:color="auto"/>
                            <w:bottom w:val="none" w:sz="0" w:space="0" w:color="auto"/>
                            <w:right w:val="none" w:sz="0" w:space="0" w:color="auto"/>
                          </w:divBdr>
                        </w:div>
                        <w:div w:id="1927417452">
                          <w:marLeft w:val="0"/>
                          <w:marRight w:val="0"/>
                          <w:marTop w:val="0"/>
                          <w:marBottom w:val="0"/>
                          <w:divBdr>
                            <w:top w:val="none" w:sz="0" w:space="0" w:color="auto"/>
                            <w:left w:val="none" w:sz="0" w:space="0" w:color="auto"/>
                            <w:bottom w:val="none" w:sz="0" w:space="0" w:color="auto"/>
                            <w:right w:val="none" w:sz="0" w:space="0" w:color="auto"/>
                          </w:divBdr>
                        </w:div>
                        <w:div w:id="1317996118">
                          <w:marLeft w:val="0"/>
                          <w:marRight w:val="0"/>
                          <w:marTop w:val="0"/>
                          <w:marBottom w:val="0"/>
                          <w:divBdr>
                            <w:top w:val="none" w:sz="0" w:space="0" w:color="auto"/>
                            <w:left w:val="none" w:sz="0" w:space="0" w:color="auto"/>
                            <w:bottom w:val="none" w:sz="0" w:space="0" w:color="auto"/>
                            <w:right w:val="none" w:sz="0" w:space="0" w:color="auto"/>
                          </w:divBdr>
                        </w:div>
                        <w:div w:id="1575822034">
                          <w:marLeft w:val="0"/>
                          <w:marRight w:val="0"/>
                          <w:marTop w:val="0"/>
                          <w:marBottom w:val="0"/>
                          <w:divBdr>
                            <w:top w:val="none" w:sz="0" w:space="0" w:color="auto"/>
                            <w:left w:val="none" w:sz="0" w:space="0" w:color="auto"/>
                            <w:bottom w:val="none" w:sz="0" w:space="0" w:color="auto"/>
                            <w:right w:val="none" w:sz="0" w:space="0" w:color="auto"/>
                          </w:divBdr>
                        </w:div>
                        <w:div w:id="1649245873">
                          <w:marLeft w:val="0"/>
                          <w:marRight w:val="0"/>
                          <w:marTop w:val="0"/>
                          <w:marBottom w:val="0"/>
                          <w:divBdr>
                            <w:top w:val="none" w:sz="0" w:space="0" w:color="auto"/>
                            <w:left w:val="none" w:sz="0" w:space="0" w:color="auto"/>
                            <w:bottom w:val="none" w:sz="0" w:space="0" w:color="auto"/>
                            <w:right w:val="none" w:sz="0" w:space="0" w:color="auto"/>
                          </w:divBdr>
                        </w:div>
                        <w:div w:id="1757167956">
                          <w:marLeft w:val="0"/>
                          <w:marRight w:val="0"/>
                          <w:marTop w:val="0"/>
                          <w:marBottom w:val="0"/>
                          <w:divBdr>
                            <w:top w:val="none" w:sz="0" w:space="0" w:color="auto"/>
                            <w:left w:val="none" w:sz="0" w:space="0" w:color="auto"/>
                            <w:bottom w:val="none" w:sz="0" w:space="0" w:color="auto"/>
                            <w:right w:val="none" w:sz="0" w:space="0" w:color="auto"/>
                          </w:divBdr>
                        </w:div>
                        <w:div w:id="1148715657">
                          <w:marLeft w:val="0"/>
                          <w:marRight w:val="0"/>
                          <w:marTop w:val="0"/>
                          <w:marBottom w:val="0"/>
                          <w:divBdr>
                            <w:top w:val="none" w:sz="0" w:space="0" w:color="auto"/>
                            <w:left w:val="none" w:sz="0" w:space="0" w:color="auto"/>
                            <w:bottom w:val="none" w:sz="0" w:space="0" w:color="auto"/>
                            <w:right w:val="none" w:sz="0" w:space="0" w:color="auto"/>
                          </w:divBdr>
                        </w:div>
                        <w:div w:id="1506481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9254453">
      <w:bodyDiv w:val="1"/>
      <w:marLeft w:val="0"/>
      <w:marRight w:val="0"/>
      <w:marTop w:val="0"/>
      <w:marBottom w:val="0"/>
      <w:divBdr>
        <w:top w:val="none" w:sz="0" w:space="0" w:color="auto"/>
        <w:left w:val="none" w:sz="0" w:space="0" w:color="auto"/>
        <w:bottom w:val="none" w:sz="0" w:space="0" w:color="auto"/>
        <w:right w:val="none" w:sz="0" w:space="0" w:color="auto"/>
      </w:divBdr>
      <w:divsChild>
        <w:div w:id="1191988110">
          <w:marLeft w:val="0"/>
          <w:marRight w:val="0"/>
          <w:marTop w:val="0"/>
          <w:marBottom w:val="0"/>
          <w:divBdr>
            <w:top w:val="none" w:sz="0" w:space="0" w:color="auto"/>
            <w:left w:val="none" w:sz="0" w:space="0" w:color="auto"/>
            <w:bottom w:val="none" w:sz="0" w:space="0" w:color="auto"/>
            <w:right w:val="none" w:sz="0" w:space="0" w:color="auto"/>
          </w:divBdr>
          <w:divsChild>
            <w:div w:id="608397364">
              <w:marLeft w:val="0"/>
              <w:marRight w:val="0"/>
              <w:marTop w:val="0"/>
              <w:marBottom w:val="0"/>
              <w:divBdr>
                <w:top w:val="none" w:sz="0" w:space="0" w:color="auto"/>
                <w:left w:val="none" w:sz="0" w:space="0" w:color="auto"/>
                <w:bottom w:val="none" w:sz="0" w:space="0" w:color="auto"/>
                <w:right w:val="none" w:sz="0" w:space="0" w:color="auto"/>
              </w:divBdr>
              <w:divsChild>
                <w:div w:id="646933966">
                  <w:marLeft w:val="2925"/>
                  <w:marRight w:val="2775"/>
                  <w:marTop w:val="0"/>
                  <w:marBottom w:val="0"/>
                  <w:divBdr>
                    <w:top w:val="none" w:sz="0" w:space="0" w:color="auto"/>
                    <w:left w:val="none" w:sz="0" w:space="0" w:color="auto"/>
                    <w:bottom w:val="none" w:sz="0" w:space="0" w:color="auto"/>
                    <w:right w:val="none" w:sz="0" w:space="0" w:color="auto"/>
                  </w:divBdr>
                  <w:divsChild>
                    <w:div w:id="1539276470">
                      <w:marLeft w:val="0"/>
                      <w:marRight w:val="0"/>
                      <w:marTop w:val="0"/>
                      <w:marBottom w:val="120"/>
                      <w:divBdr>
                        <w:top w:val="none" w:sz="0" w:space="0" w:color="auto"/>
                        <w:left w:val="none" w:sz="0" w:space="0" w:color="auto"/>
                        <w:bottom w:val="none" w:sz="0" w:space="0" w:color="auto"/>
                        <w:right w:val="none" w:sz="0" w:space="0" w:color="auto"/>
                      </w:divBdr>
                    </w:div>
                    <w:div w:id="503401221">
                      <w:marLeft w:val="0"/>
                      <w:marRight w:val="0"/>
                      <w:marTop w:val="0"/>
                      <w:marBottom w:val="0"/>
                      <w:divBdr>
                        <w:top w:val="none" w:sz="0" w:space="0" w:color="auto"/>
                        <w:left w:val="none" w:sz="0" w:space="0" w:color="auto"/>
                        <w:bottom w:val="none" w:sz="0" w:space="0" w:color="auto"/>
                        <w:right w:val="none" w:sz="0" w:space="0" w:color="auto"/>
                      </w:divBdr>
                      <w:divsChild>
                        <w:div w:id="876040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7033647">
      <w:bodyDiv w:val="1"/>
      <w:marLeft w:val="0"/>
      <w:marRight w:val="0"/>
      <w:marTop w:val="0"/>
      <w:marBottom w:val="0"/>
      <w:divBdr>
        <w:top w:val="none" w:sz="0" w:space="0" w:color="auto"/>
        <w:left w:val="none" w:sz="0" w:space="0" w:color="auto"/>
        <w:bottom w:val="none" w:sz="0" w:space="0" w:color="auto"/>
        <w:right w:val="none" w:sz="0" w:space="0" w:color="auto"/>
      </w:divBdr>
      <w:divsChild>
        <w:div w:id="77872103">
          <w:marLeft w:val="0"/>
          <w:marRight w:val="0"/>
          <w:marTop w:val="0"/>
          <w:marBottom w:val="0"/>
          <w:divBdr>
            <w:top w:val="none" w:sz="0" w:space="0" w:color="auto"/>
            <w:left w:val="none" w:sz="0" w:space="0" w:color="auto"/>
            <w:bottom w:val="none" w:sz="0" w:space="0" w:color="auto"/>
            <w:right w:val="none" w:sz="0" w:space="0" w:color="auto"/>
          </w:divBdr>
          <w:divsChild>
            <w:div w:id="2134326830">
              <w:marLeft w:val="0"/>
              <w:marRight w:val="0"/>
              <w:marTop w:val="0"/>
              <w:marBottom w:val="0"/>
              <w:divBdr>
                <w:top w:val="none" w:sz="0" w:space="0" w:color="auto"/>
                <w:left w:val="none" w:sz="0" w:space="0" w:color="auto"/>
                <w:bottom w:val="none" w:sz="0" w:space="0" w:color="auto"/>
                <w:right w:val="none" w:sz="0" w:space="0" w:color="auto"/>
              </w:divBdr>
              <w:divsChild>
                <w:div w:id="111439006">
                  <w:marLeft w:val="2925"/>
                  <w:marRight w:val="2775"/>
                  <w:marTop w:val="0"/>
                  <w:marBottom w:val="0"/>
                  <w:divBdr>
                    <w:top w:val="none" w:sz="0" w:space="0" w:color="auto"/>
                    <w:left w:val="none" w:sz="0" w:space="0" w:color="auto"/>
                    <w:bottom w:val="none" w:sz="0" w:space="0" w:color="auto"/>
                    <w:right w:val="none" w:sz="0" w:space="0" w:color="auto"/>
                  </w:divBdr>
                  <w:divsChild>
                    <w:div w:id="2098286051">
                      <w:marLeft w:val="0"/>
                      <w:marRight w:val="0"/>
                      <w:marTop w:val="0"/>
                      <w:marBottom w:val="120"/>
                      <w:divBdr>
                        <w:top w:val="none" w:sz="0" w:space="0" w:color="auto"/>
                        <w:left w:val="none" w:sz="0" w:space="0" w:color="auto"/>
                        <w:bottom w:val="none" w:sz="0" w:space="0" w:color="auto"/>
                        <w:right w:val="none" w:sz="0" w:space="0" w:color="auto"/>
                      </w:divBdr>
                    </w:div>
                    <w:div w:id="321786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1962494">
      <w:bodyDiv w:val="1"/>
      <w:marLeft w:val="0"/>
      <w:marRight w:val="0"/>
      <w:marTop w:val="0"/>
      <w:marBottom w:val="0"/>
      <w:divBdr>
        <w:top w:val="none" w:sz="0" w:space="0" w:color="auto"/>
        <w:left w:val="none" w:sz="0" w:space="0" w:color="auto"/>
        <w:bottom w:val="none" w:sz="0" w:space="0" w:color="auto"/>
        <w:right w:val="none" w:sz="0" w:space="0" w:color="auto"/>
      </w:divBdr>
      <w:divsChild>
        <w:div w:id="2118713706">
          <w:marLeft w:val="0"/>
          <w:marRight w:val="0"/>
          <w:marTop w:val="0"/>
          <w:marBottom w:val="0"/>
          <w:divBdr>
            <w:top w:val="none" w:sz="0" w:space="0" w:color="auto"/>
            <w:left w:val="none" w:sz="0" w:space="0" w:color="auto"/>
            <w:bottom w:val="none" w:sz="0" w:space="0" w:color="auto"/>
            <w:right w:val="none" w:sz="0" w:space="0" w:color="auto"/>
          </w:divBdr>
          <w:divsChild>
            <w:div w:id="1185438539">
              <w:marLeft w:val="0"/>
              <w:marRight w:val="0"/>
              <w:marTop w:val="0"/>
              <w:marBottom w:val="0"/>
              <w:divBdr>
                <w:top w:val="none" w:sz="0" w:space="0" w:color="auto"/>
                <w:left w:val="none" w:sz="0" w:space="0" w:color="auto"/>
                <w:bottom w:val="none" w:sz="0" w:space="0" w:color="auto"/>
                <w:right w:val="none" w:sz="0" w:space="0" w:color="auto"/>
              </w:divBdr>
              <w:divsChild>
                <w:div w:id="976035791">
                  <w:marLeft w:val="2925"/>
                  <w:marRight w:val="2775"/>
                  <w:marTop w:val="0"/>
                  <w:marBottom w:val="0"/>
                  <w:divBdr>
                    <w:top w:val="none" w:sz="0" w:space="0" w:color="auto"/>
                    <w:left w:val="none" w:sz="0" w:space="0" w:color="auto"/>
                    <w:bottom w:val="none" w:sz="0" w:space="0" w:color="auto"/>
                    <w:right w:val="none" w:sz="0" w:space="0" w:color="auto"/>
                  </w:divBdr>
                  <w:divsChild>
                    <w:div w:id="961838491">
                      <w:marLeft w:val="0"/>
                      <w:marRight w:val="0"/>
                      <w:marTop w:val="0"/>
                      <w:marBottom w:val="120"/>
                      <w:divBdr>
                        <w:top w:val="none" w:sz="0" w:space="0" w:color="auto"/>
                        <w:left w:val="none" w:sz="0" w:space="0" w:color="auto"/>
                        <w:bottom w:val="none" w:sz="0" w:space="0" w:color="auto"/>
                        <w:right w:val="none" w:sz="0" w:space="0" w:color="auto"/>
                      </w:divBdr>
                    </w:div>
                    <w:div w:id="1226061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8433312">
      <w:bodyDiv w:val="1"/>
      <w:marLeft w:val="0"/>
      <w:marRight w:val="0"/>
      <w:marTop w:val="0"/>
      <w:marBottom w:val="0"/>
      <w:divBdr>
        <w:top w:val="none" w:sz="0" w:space="0" w:color="auto"/>
        <w:left w:val="none" w:sz="0" w:space="0" w:color="auto"/>
        <w:bottom w:val="none" w:sz="0" w:space="0" w:color="auto"/>
        <w:right w:val="none" w:sz="0" w:space="0" w:color="auto"/>
      </w:divBdr>
      <w:divsChild>
        <w:div w:id="1764035229">
          <w:marLeft w:val="0"/>
          <w:marRight w:val="0"/>
          <w:marTop w:val="0"/>
          <w:marBottom w:val="0"/>
          <w:divBdr>
            <w:top w:val="none" w:sz="0" w:space="0" w:color="auto"/>
            <w:left w:val="none" w:sz="0" w:space="0" w:color="auto"/>
            <w:bottom w:val="none" w:sz="0" w:space="0" w:color="auto"/>
            <w:right w:val="none" w:sz="0" w:space="0" w:color="auto"/>
          </w:divBdr>
          <w:divsChild>
            <w:div w:id="1658458069">
              <w:marLeft w:val="0"/>
              <w:marRight w:val="0"/>
              <w:marTop w:val="0"/>
              <w:marBottom w:val="0"/>
              <w:divBdr>
                <w:top w:val="none" w:sz="0" w:space="0" w:color="auto"/>
                <w:left w:val="none" w:sz="0" w:space="0" w:color="auto"/>
                <w:bottom w:val="none" w:sz="0" w:space="0" w:color="auto"/>
                <w:right w:val="none" w:sz="0" w:space="0" w:color="auto"/>
              </w:divBdr>
              <w:divsChild>
                <w:div w:id="217400591">
                  <w:marLeft w:val="2925"/>
                  <w:marRight w:val="2775"/>
                  <w:marTop w:val="0"/>
                  <w:marBottom w:val="0"/>
                  <w:divBdr>
                    <w:top w:val="none" w:sz="0" w:space="0" w:color="auto"/>
                    <w:left w:val="none" w:sz="0" w:space="0" w:color="auto"/>
                    <w:bottom w:val="none" w:sz="0" w:space="0" w:color="auto"/>
                    <w:right w:val="none" w:sz="0" w:space="0" w:color="auto"/>
                  </w:divBdr>
                  <w:divsChild>
                    <w:div w:id="518664726">
                      <w:marLeft w:val="0"/>
                      <w:marRight w:val="0"/>
                      <w:marTop w:val="0"/>
                      <w:marBottom w:val="120"/>
                      <w:divBdr>
                        <w:top w:val="none" w:sz="0" w:space="0" w:color="auto"/>
                        <w:left w:val="none" w:sz="0" w:space="0" w:color="auto"/>
                        <w:bottom w:val="none" w:sz="0" w:space="0" w:color="auto"/>
                        <w:right w:val="none" w:sz="0" w:space="0" w:color="auto"/>
                      </w:divBdr>
                    </w:div>
                    <w:div w:id="260066103">
                      <w:marLeft w:val="0"/>
                      <w:marRight w:val="0"/>
                      <w:marTop w:val="0"/>
                      <w:marBottom w:val="0"/>
                      <w:divBdr>
                        <w:top w:val="none" w:sz="0" w:space="0" w:color="auto"/>
                        <w:left w:val="none" w:sz="0" w:space="0" w:color="auto"/>
                        <w:bottom w:val="none" w:sz="0" w:space="0" w:color="auto"/>
                        <w:right w:val="none" w:sz="0" w:space="0" w:color="auto"/>
                      </w:divBdr>
                      <w:divsChild>
                        <w:div w:id="1080251502">
                          <w:marLeft w:val="0"/>
                          <w:marRight w:val="0"/>
                          <w:marTop w:val="0"/>
                          <w:marBottom w:val="0"/>
                          <w:divBdr>
                            <w:top w:val="none" w:sz="0" w:space="0" w:color="auto"/>
                            <w:left w:val="none" w:sz="0" w:space="0" w:color="auto"/>
                            <w:bottom w:val="none" w:sz="0" w:space="0" w:color="auto"/>
                            <w:right w:val="none" w:sz="0" w:space="0" w:color="auto"/>
                          </w:divBdr>
                          <w:divsChild>
                            <w:div w:id="520096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omune.pisa.it/att-economiche/leggi/decreto_ministeriale_19_agosto_1996.pdf"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900</Words>
  <Characters>5133</Characters>
  <Application>Microsoft Office Word</Application>
  <DocSecurity>0</DocSecurity>
  <Lines>42</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Chiara</dc:creator>
  <cp:lastModifiedBy>Chiara</cp:lastModifiedBy>
  <cp:revision>2</cp:revision>
  <dcterms:created xsi:type="dcterms:W3CDTF">2016-08-25T17:43:00Z</dcterms:created>
  <dcterms:modified xsi:type="dcterms:W3CDTF">2016-08-25T17:43:00Z</dcterms:modified>
</cp:coreProperties>
</file>